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用户注册指南</w:t>
      </w:r>
    </w:p>
    <w:p>
      <w:pPr>
        <w:ind w:firstLine="42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申报单位、会计事务所、项目负责人、会计人员和评审专家的注册都分为：账号注册和角色激活两步。</w:t>
      </w:r>
    </w:p>
    <w:p>
      <w:pPr>
        <w:pStyle w:val="3"/>
        <w:bidi w:val="0"/>
        <w:rPr>
          <w:rFonts w:hint="eastAsia"/>
          <w:lang w:val="en-US" w:eastAsia="zh-CN"/>
        </w:rPr>
      </w:pPr>
      <w:r>
        <w:rPr>
          <w:rFonts w:hint="eastAsia"/>
          <w:lang w:val="en-US" w:eastAsia="zh-CN"/>
        </w:rPr>
        <w:t>（一）账号注册</w:t>
      </w:r>
    </w:p>
    <w:p>
      <w:pPr>
        <w:ind w:firstLine="42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账号即为用户登录系统使用的“登录账号”。账号一般由字母和数字组成，原则上账号与该使用者的身份证号码一一对应。如果在科技管理信息系统中已有账号（已是项目负责人、评审专家等），可直接登录后，激活相应角色即可，不用重复注册账号。一个账号可对应多个角色，角色之间可以自由切换。账号注册的流程如下：</w:t>
      </w:r>
    </w:p>
    <w:p>
      <w:pPr>
        <w:pStyle w:val="4"/>
        <w:bidi w:val="0"/>
        <w:rPr>
          <w:rFonts w:hint="default"/>
          <w:lang w:val="en-US" w:eastAsia="zh-CN"/>
        </w:rPr>
      </w:pPr>
      <w:r>
        <w:rPr>
          <w:rFonts w:hint="eastAsia"/>
          <w:lang w:val="en-US" w:eastAsia="zh-CN"/>
        </w:rPr>
        <w:t>（1）选择类型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5267960" cy="2134235"/>
            <wp:effectExtent l="0" t="0" r="889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960" cy="2134235"/>
                    </a:xfrm>
                    <a:prstGeom prst="rect">
                      <a:avLst/>
                    </a:prstGeom>
                    <a:noFill/>
                    <a:ln>
                      <a:noFill/>
                    </a:ln>
                  </pic:spPr>
                </pic:pic>
              </a:graphicData>
            </a:graphic>
          </wp:inline>
        </w:drawing>
      </w:r>
    </w:p>
    <w:p>
      <w:pPr>
        <w:pStyle w:val="4"/>
        <w:numPr>
          <w:ilvl w:val="0"/>
          <w:numId w:val="1"/>
        </w:numPr>
        <w:bidi w:val="0"/>
        <w:rPr>
          <w:rFonts w:hint="eastAsia"/>
          <w:lang w:val="en-US" w:eastAsia="zh-CN"/>
        </w:rPr>
      </w:pPr>
      <w:r>
        <w:rPr>
          <w:rFonts w:hint="eastAsia"/>
          <w:lang w:val="en-US" w:eastAsia="zh-CN"/>
        </w:rPr>
        <w:t>阅读说明</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5274310" cy="2680970"/>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2680970"/>
                    </a:xfrm>
                    <a:prstGeom prst="rect">
                      <a:avLst/>
                    </a:prstGeom>
                    <a:noFill/>
                    <a:ln>
                      <a:noFill/>
                    </a:ln>
                  </pic:spPr>
                </pic:pic>
              </a:graphicData>
            </a:graphic>
          </wp:inline>
        </w:drawing>
      </w:r>
    </w:p>
    <w:p>
      <w:pPr>
        <w:numPr>
          <w:ilvl w:val="0"/>
          <w:numId w:val="0"/>
        </w:numPr>
        <w:ind w:firstLine="42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如果已有账号，请选择“我已有账号，我要登录”按钮，直接登录系统，激活相应角色；否则，请点击“我没有账号，我要注册”按钮开始账号注册。</w:t>
      </w:r>
    </w:p>
    <w:p>
      <w:pPr>
        <w:pStyle w:val="4"/>
        <w:numPr>
          <w:ilvl w:val="0"/>
          <w:numId w:val="1"/>
        </w:numPr>
        <w:bidi w:val="0"/>
        <w:rPr>
          <w:rFonts w:hint="eastAsia"/>
          <w:lang w:val="en-US" w:eastAsia="zh-CN"/>
        </w:rPr>
      </w:pPr>
      <w:r>
        <w:rPr>
          <w:rFonts w:hint="eastAsia"/>
          <w:lang w:val="en-US" w:eastAsia="zh-CN"/>
        </w:rPr>
        <w:t>注册账号</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5270500" cy="6849745"/>
            <wp:effectExtent l="0" t="0" r="635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0500" cy="6849745"/>
                    </a:xfrm>
                    <a:prstGeom prst="rect">
                      <a:avLst/>
                    </a:prstGeom>
                    <a:noFill/>
                    <a:ln>
                      <a:noFill/>
                    </a:ln>
                  </pic:spPr>
                </pic:pic>
              </a:graphicData>
            </a:graphic>
          </wp:inline>
        </w:drawing>
      </w:r>
    </w:p>
    <w:p>
      <w:pPr>
        <w:numPr>
          <w:ilvl w:val="0"/>
          <w:numId w:val="0"/>
        </w:numPr>
        <w:ind w:firstLine="42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根据页面要求，填写相应内容注册账号即可。</w:t>
      </w:r>
    </w:p>
    <w:p>
      <w:pPr>
        <w:pStyle w:val="3"/>
        <w:numPr>
          <w:ilvl w:val="0"/>
          <w:numId w:val="2"/>
        </w:numPr>
        <w:bidi w:val="0"/>
        <w:rPr>
          <w:rFonts w:hint="default"/>
          <w:lang w:val="en-US" w:eastAsia="zh-CN"/>
        </w:rPr>
      </w:pPr>
      <w:r>
        <w:rPr>
          <w:rFonts w:hint="eastAsia"/>
          <w:lang w:val="en-US" w:eastAsia="zh-CN"/>
        </w:rPr>
        <w:t>角色激活</w:t>
      </w:r>
    </w:p>
    <w:p>
      <w:pPr>
        <w:pStyle w:val="4"/>
        <w:numPr>
          <w:ilvl w:val="0"/>
          <w:numId w:val="3"/>
        </w:numPr>
        <w:bidi w:val="0"/>
        <w:rPr>
          <w:rFonts w:hint="eastAsia"/>
          <w:lang w:val="en-US" w:eastAsia="zh-CN"/>
        </w:rPr>
      </w:pPr>
      <w:r>
        <w:rPr>
          <w:rFonts w:hint="eastAsia"/>
          <w:lang w:val="en-US" w:eastAsia="zh-CN"/>
        </w:rPr>
        <w:t>选择激活角色</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5267325" cy="1868170"/>
            <wp:effectExtent l="0" t="0" r="9525" b="177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7325" cy="1868170"/>
                    </a:xfrm>
                    <a:prstGeom prst="rect">
                      <a:avLst/>
                    </a:prstGeom>
                    <a:noFill/>
                    <a:ln>
                      <a:noFill/>
                    </a:ln>
                  </pic:spPr>
                </pic:pic>
              </a:graphicData>
            </a:graphic>
          </wp:inline>
        </w:drawing>
      </w:r>
    </w:p>
    <w:p>
      <w:pPr>
        <w:ind w:firstLine="42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选择“更多角色”选项卡，进入关联角色。目前，系统仅支持项目负责人、评审专家、申报单位、会计事务所和会计人员之间的相互关联激活，其他角色账号并不具有“更多角色”选项卡。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5268595" cy="2606040"/>
            <wp:effectExtent l="0" t="0" r="825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8595" cy="2606040"/>
                    </a:xfrm>
                    <a:prstGeom prst="rect">
                      <a:avLst/>
                    </a:prstGeom>
                    <a:noFill/>
                    <a:ln>
                      <a:noFill/>
                    </a:ln>
                  </pic:spPr>
                </pic:pic>
              </a:graphicData>
            </a:graphic>
          </wp:inline>
        </w:drawing>
      </w:r>
    </w:p>
    <w:p>
      <w:pPr>
        <w:ind w:firstLine="42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根据实际需要选择激活相应的角色。其中：项目负责人、会计人员和评审专家属于有归属角色（激活时需要选择所属单位），激活之前必须先由单位管理员激活申报单位或会计事务所并取得实名认证。</w:t>
      </w:r>
    </w:p>
    <w:p>
      <w:pPr>
        <w:pStyle w:val="4"/>
        <w:numPr>
          <w:ilvl w:val="0"/>
          <w:numId w:val="3"/>
        </w:numPr>
        <w:bidi w:val="0"/>
        <w:rPr>
          <w:rFonts w:hint="eastAsia"/>
          <w:lang w:val="en-US" w:eastAsia="zh-CN"/>
        </w:rPr>
      </w:pPr>
      <w:r>
        <w:rPr>
          <w:rFonts w:hint="eastAsia"/>
          <w:lang w:val="en-US" w:eastAsia="zh-CN"/>
        </w:rPr>
        <w:t>填写主要内容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5269865" cy="4580890"/>
            <wp:effectExtent l="0" t="0" r="6985"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69865" cy="4580890"/>
                    </a:xfrm>
                    <a:prstGeom prst="rect">
                      <a:avLst/>
                    </a:prstGeom>
                    <a:noFill/>
                    <a:ln>
                      <a:noFill/>
                    </a:ln>
                  </pic:spPr>
                </pic:pic>
              </a:graphicData>
            </a:graphic>
          </wp:inline>
        </w:drawing>
      </w:r>
    </w:p>
    <w:p>
      <w:pPr>
        <w:ind w:firstLine="42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请根据页面提示填写相应的内容。</w:t>
      </w:r>
    </w:p>
    <w:p>
      <w:pPr>
        <w:pStyle w:val="4"/>
        <w:numPr>
          <w:ilvl w:val="0"/>
          <w:numId w:val="3"/>
        </w:numPr>
        <w:bidi w:val="0"/>
        <w:rPr>
          <w:rFonts w:hint="eastAsia"/>
          <w:lang w:val="en-US" w:eastAsia="zh-CN"/>
        </w:rPr>
      </w:pPr>
      <w:r>
        <w:rPr>
          <w:rFonts w:hint="eastAsia"/>
          <w:lang w:val="en-US" w:eastAsia="zh-CN"/>
        </w:rPr>
        <w:t>完善其他内容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5269865" cy="3459480"/>
            <wp:effectExtent l="0" t="0" r="6985" b="7620"/>
            <wp:docPr id="7" name="图片 7" descr="C:\Users\Administrator\Desktop\QQ截图20190528155958.pngQQ截图20190528155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QQ截图20190528155958.pngQQ截图20190528155958"/>
                    <pic:cNvPicPr>
                      <a:picLocks noChangeAspect="1"/>
                    </pic:cNvPicPr>
                  </pic:nvPicPr>
                  <pic:blipFill>
                    <a:blip r:embed="rId10"/>
                    <a:srcRect/>
                    <a:stretch>
                      <a:fillRect/>
                    </a:stretch>
                  </pic:blipFill>
                  <pic:spPr>
                    <a:xfrm>
                      <a:off x="0" y="0"/>
                      <a:ext cx="5269865" cy="3459480"/>
                    </a:xfrm>
                    <a:prstGeom prst="rect">
                      <a:avLst/>
                    </a:prstGeom>
                    <a:noFill/>
                    <a:ln>
                      <a:noFill/>
                    </a:ln>
                  </pic:spPr>
                </pic:pic>
              </a:graphicData>
            </a:graphic>
          </wp:inline>
        </w:drawing>
      </w:r>
      <w:bookmarkStart w:id="0" w:name="_GoBack"/>
      <w:bookmarkEnd w:id="0"/>
    </w:p>
    <w:p>
      <w:pPr>
        <w:ind w:firstLine="42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根据页面提示完善相关内容即可。</w:t>
      </w:r>
    </w:p>
    <w:p>
      <w:pPr>
        <w:pStyle w:val="4"/>
        <w:numPr>
          <w:ilvl w:val="0"/>
          <w:numId w:val="3"/>
        </w:numPr>
        <w:bidi w:val="0"/>
        <w:rPr>
          <w:rFonts w:hint="eastAsia"/>
          <w:lang w:val="en-US" w:eastAsia="zh-CN"/>
        </w:rPr>
      </w:pPr>
      <w:r>
        <w:rPr>
          <w:rFonts w:hint="eastAsia"/>
          <w:lang w:val="en-US" w:eastAsia="zh-CN"/>
        </w:rPr>
        <w:t>申请认证</w:t>
      </w:r>
    </w:p>
    <w:p>
      <w:pPr>
        <w:numPr>
          <w:ilvl w:val="0"/>
          <w:numId w:val="0"/>
        </w:numPr>
        <w:ind w:leftChars="0" w:firstLine="42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资料完善后，请点击“申请认证”按钮，完成账号的实名认证。申报单位（会计事务所）必须要认证通过后，单位所属项目负责人（会计人员）才能选择并关联到该单位。</w:t>
      </w: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1C41F6"/>
    <w:multiLevelType w:val="singleLevel"/>
    <w:tmpl w:val="D41C41F6"/>
    <w:lvl w:ilvl="0" w:tentative="0">
      <w:start w:val="2"/>
      <w:numFmt w:val="chineseCounting"/>
      <w:suff w:val="nothing"/>
      <w:lvlText w:val="（%1）"/>
      <w:lvlJc w:val="left"/>
      <w:rPr>
        <w:rFonts w:hint="eastAsia"/>
      </w:rPr>
    </w:lvl>
  </w:abstractNum>
  <w:abstractNum w:abstractNumId="1">
    <w:nsid w:val="07F7AF67"/>
    <w:multiLevelType w:val="singleLevel"/>
    <w:tmpl w:val="07F7AF67"/>
    <w:lvl w:ilvl="0" w:tentative="0">
      <w:start w:val="1"/>
      <w:numFmt w:val="decimal"/>
      <w:suff w:val="nothing"/>
      <w:lvlText w:val="（%1）"/>
      <w:lvlJc w:val="left"/>
    </w:lvl>
  </w:abstractNum>
  <w:abstractNum w:abstractNumId="2">
    <w:nsid w:val="42564CA8"/>
    <w:multiLevelType w:val="singleLevel"/>
    <w:tmpl w:val="42564CA8"/>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C2A47"/>
    <w:rsid w:val="01903533"/>
    <w:rsid w:val="01E3218F"/>
    <w:rsid w:val="03B00C05"/>
    <w:rsid w:val="03F641CA"/>
    <w:rsid w:val="0563247F"/>
    <w:rsid w:val="07E52AF6"/>
    <w:rsid w:val="09F73415"/>
    <w:rsid w:val="0A624E74"/>
    <w:rsid w:val="0BBA4F3A"/>
    <w:rsid w:val="0D55765E"/>
    <w:rsid w:val="0DBE17E2"/>
    <w:rsid w:val="0E720FDF"/>
    <w:rsid w:val="0F5E046F"/>
    <w:rsid w:val="0F9E2B94"/>
    <w:rsid w:val="1074464C"/>
    <w:rsid w:val="108A21A1"/>
    <w:rsid w:val="10C91F9D"/>
    <w:rsid w:val="1203436C"/>
    <w:rsid w:val="124E78FA"/>
    <w:rsid w:val="126509FF"/>
    <w:rsid w:val="129E45B1"/>
    <w:rsid w:val="14717864"/>
    <w:rsid w:val="152905D3"/>
    <w:rsid w:val="16B04F36"/>
    <w:rsid w:val="170A427C"/>
    <w:rsid w:val="1A8B45CE"/>
    <w:rsid w:val="1CF90676"/>
    <w:rsid w:val="1D035AEE"/>
    <w:rsid w:val="1DBC28DD"/>
    <w:rsid w:val="1E1308A1"/>
    <w:rsid w:val="1E36665E"/>
    <w:rsid w:val="202750DB"/>
    <w:rsid w:val="21BB17B8"/>
    <w:rsid w:val="21E205FC"/>
    <w:rsid w:val="22224FAB"/>
    <w:rsid w:val="2228098A"/>
    <w:rsid w:val="22C36C13"/>
    <w:rsid w:val="23236BA8"/>
    <w:rsid w:val="2331699F"/>
    <w:rsid w:val="24E86114"/>
    <w:rsid w:val="254963DC"/>
    <w:rsid w:val="258024AF"/>
    <w:rsid w:val="281E4792"/>
    <w:rsid w:val="288F7169"/>
    <w:rsid w:val="29223435"/>
    <w:rsid w:val="29656E13"/>
    <w:rsid w:val="29ED6B7D"/>
    <w:rsid w:val="2B454C95"/>
    <w:rsid w:val="2B987526"/>
    <w:rsid w:val="2BA13C27"/>
    <w:rsid w:val="2BF33A7E"/>
    <w:rsid w:val="2C064E66"/>
    <w:rsid w:val="2C086A9E"/>
    <w:rsid w:val="2C7E0CC9"/>
    <w:rsid w:val="2CA810A2"/>
    <w:rsid w:val="2E177F19"/>
    <w:rsid w:val="2EBB22C3"/>
    <w:rsid w:val="30D56D71"/>
    <w:rsid w:val="3197769A"/>
    <w:rsid w:val="320A4A52"/>
    <w:rsid w:val="342711D5"/>
    <w:rsid w:val="345F25B1"/>
    <w:rsid w:val="351422A5"/>
    <w:rsid w:val="35955D8B"/>
    <w:rsid w:val="367147D3"/>
    <w:rsid w:val="375E4CA6"/>
    <w:rsid w:val="37AA07E6"/>
    <w:rsid w:val="38412146"/>
    <w:rsid w:val="38646E1A"/>
    <w:rsid w:val="3B8D32D8"/>
    <w:rsid w:val="3BF55FD2"/>
    <w:rsid w:val="3C140B0D"/>
    <w:rsid w:val="3CFB3376"/>
    <w:rsid w:val="3D01633F"/>
    <w:rsid w:val="3D7C67D8"/>
    <w:rsid w:val="3ED8738B"/>
    <w:rsid w:val="3F9043B3"/>
    <w:rsid w:val="3FED74D5"/>
    <w:rsid w:val="409411C3"/>
    <w:rsid w:val="40DB1786"/>
    <w:rsid w:val="40E945AC"/>
    <w:rsid w:val="41907AAE"/>
    <w:rsid w:val="43237C7D"/>
    <w:rsid w:val="436C56D6"/>
    <w:rsid w:val="43EF360D"/>
    <w:rsid w:val="44503DAD"/>
    <w:rsid w:val="44F41F0D"/>
    <w:rsid w:val="45F019FE"/>
    <w:rsid w:val="47C402D6"/>
    <w:rsid w:val="481C78B3"/>
    <w:rsid w:val="488416AE"/>
    <w:rsid w:val="48F16D31"/>
    <w:rsid w:val="49112104"/>
    <w:rsid w:val="4C3A6E11"/>
    <w:rsid w:val="4CDF2FEA"/>
    <w:rsid w:val="4CEF0D64"/>
    <w:rsid w:val="4D214140"/>
    <w:rsid w:val="4DBB3E89"/>
    <w:rsid w:val="4E3C56FF"/>
    <w:rsid w:val="4F6C0929"/>
    <w:rsid w:val="4FC0730B"/>
    <w:rsid w:val="504B419D"/>
    <w:rsid w:val="51F350BE"/>
    <w:rsid w:val="52F7230A"/>
    <w:rsid w:val="538225B1"/>
    <w:rsid w:val="538F1A62"/>
    <w:rsid w:val="53B017B2"/>
    <w:rsid w:val="556745A7"/>
    <w:rsid w:val="55681C08"/>
    <w:rsid w:val="56714602"/>
    <w:rsid w:val="568C3AC8"/>
    <w:rsid w:val="58066B3A"/>
    <w:rsid w:val="58CC31A1"/>
    <w:rsid w:val="58F90D1D"/>
    <w:rsid w:val="59D13A3B"/>
    <w:rsid w:val="59FD7175"/>
    <w:rsid w:val="59FF2CFF"/>
    <w:rsid w:val="5ABC07A5"/>
    <w:rsid w:val="5B153CA9"/>
    <w:rsid w:val="5BA62D1B"/>
    <w:rsid w:val="5BC544AB"/>
    <w:rsid w:val="5C1C393B"/>
    <w:rsid w:val="5C2012C7"/>
    <w:rsid w:val="5CC64BB9"/>
    <w:rsid w:val="5CFD6F43"/>
    <w:rsid w:val="5E336C48"/>
    <w:rsid w:val="5EE74B83"/>
    <w:rsid w:val="5EFA1F29"/>
    <w:rsid w:val="5F95333E"/>
    <w:rsid w:val="60331140"/>
    <w:rsid w:val="606A09E2"/>
    <w:rsid w:val="60B54AEE"/>
    <w:rsid w:val="60CB4697"/>
    <w:rsid w:val="60EA22E2"/>
    <w:rsid w:val="620B32B1"/>
    <w:rsid w:val="622A5A78"/>
    <w:rsid w:val="626C1A86"/>
    <w:rsid w:val="62BE4A13"/>
    <w:rsid w:val="633871C7"/>
    <w:rsid w:val="6526611B"/>
    <w:rsid w:val="66F646E9"/>
    <w:rsid w:val="6BF637AF"/>
    <w:rsid w:val="6C95636E"/>
    <w:rsid w:val="6D645B86"/>
    <w:rsid w:val="6EFD1340"/>
    <w:rsid w:val="6F5A08FA"/>
    <w:rsid w:val="6FB80862"/>
    <w:rsid w:val="70006F81"/>
    <w:rsid w:val="70F93913"/>
    <w:rsid w:val="71B911CF"/>
    <w:rsid w:val="71D3682B"/>
    <w:rsid w:val="731B7E67"/>
    <w:rsid w:val="74FE20C6"/>
    <w:rsid w:val="75A96CDE"/>
    <w:rsid w:val="75FE40DD"/>
    <w:rsid w:val="762E25CA"/>
    <w:rsid w:val="769B2B92"/>
    <w:rsid w:val="794C72E2"/>
    <w:rsid w:val="79F2457C"/>
    <w:rsid w:val="7A5A27F8"/>
    <w:rsid w:val="7BB86186"/>
    <w:rsid w:val="7BBA3D73"/>
    <w:rsid w:val="7C6E0CAB"/>
    <w:rsid w:val="7EED3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2019-05-28T08:00:22Z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